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>
      <w:pPr>
        <w:spacing w:line="300" w:lineRule="exact"/>
        <w:jc w:val="center"/>
        <w:rPr>
          <w:rFonts w:hint="eastAsia"/>
          <w:b/>
          <w:sz w:val="2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江西嘉祥水利工程有限公司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u w:val="single"/>
          <w:lang w:eastAsia="zh-CN"/>
        </w:rPr>
        <w:t>湘东区粮食仓储设施建设项目——建筑材料（1号粮仓、3号综合楼正负零以下）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val="en-US" w:eastAsia="zh-CN"/>
        </w:rPr>
        <w:t>公开招标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1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8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16</w:t>
      </w:r>
      <w:r>
        <w:rPr>
          <w:rFonts w:hint="eastAsia"/>
          <w:sz w:val="24"/>
          <w:szCs w:val="24"/>
          <w:u w:val="single"/>
        </w:rPr>
        <w:t>点</w:t>
      </w:r>
      <w:r>
        <w:rPr>
          <w:rFonts w:hint="eastAsia"/>
          <w:sz w:val="24"/>
          <w:szCs w:val="24"/>
          <w:u w:val="single"/>
          <w:lang w:val="en-US" w:eastAsia="zh-CN"/>
        </w:rPr>
        <w:t>00</w:t>
      </w:r>
      <w:r>
        <w:rPr>
          <w:rFonts w:hint="eastAsia"/>
          <w:sz w:val="24"/>
          <w:szCs w:val="24"/>
          <w:u w:val="single"/>
        </w:rPr>
        <w:t>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02"/>
      <w:bookmarkStart w:id="3" w:name="_Toc35393790"/>
      <w:bookmarkStart w:id="4" w:name="_Toc35393621"/>
      <w:bookmarkStart w:id="5" w:name="_Toc28359079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>
      <w:pPr>
        <w:ind w:left="1679" w:leftChars="228" w:hanging="1200" w:hangingChars="5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湘东区粮食仓储设施建设项目——建筑材料（1号粮仓、3号综合楼正负零以下）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  <w:lang w:val="en-US" w:eastAsia="zh-CN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val="en-US" w:eastAsia="zh-CN"/>
        </w:rPr>
        <w:t>公开招标</w:t>
      </w:r>
    </w:p>
    <w:p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预算金额：2283160.87元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最高限价：2283160.87元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招标文件</w:t>
      </w:r>
      <w:r>
        <w:rPr>
          <w:rFonts w:hint="eastAsia" w:cs="宋体"/>
          <w:kern w:val="0"/>
          <w:sz w:val="24"/>
          <w:szCs w:val="24"/>
        </w:rPr>
        <w:t>第四部分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合同履行期限：详见合同</w:t>
      </w:r>
      <w:bookmarkStart w:id="23" w:name="_GoBack"/>
      <w:bookmarkEnd w:id="23"/>
    </w:p>
    <w:p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28359080"/>
      <w:bookmarkStart w:id="8" w:name="_Toc35393791"/>
      <w:bookmarkStart w:id="9" w:name="_Toc28359003"/>
      <w:bookmarkStart w:id="10" w:name="_Toc35393622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04"/>
      <w:bookmarkStart w:id="12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具有良好的商业信誉和健全的财务会计制度，提供承诺函；</w:t>
      </w:r>
    </w:p>
    <w:p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具有履行合同所必需的设备和专业技术能力，提供承诺函；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有依法缴纳税收和社会保障资金的良好记录，提供承诺函；</w:t>
      </w:r>
    </w:p>
    <w:p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参加政府采购活动前三年内，在经营活动中没有重大违法记录，提供承诺函；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</w:p>
    <w:p>
      <w:pPr>
        <w:ind w:firstLine="480" w:firstLineChars="200"/>
        <w:jc w:val="left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经营范围须包含建筑材料销售，且营业执照处于有效期内。</w:t>
      </w:r>
    </w:p>
    <w:p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  <w:lang w:eastAsia="zh-CN"/>
        </w:rPr>
      </w:pPr>
      <w:r>
        <w:rPr>
          <w:rFonts w:hint="eastAsia" w:cs="宋体"/>
          <w:iCs/>
          <w:kern w:val="0"/>
          <w:sz w:val="24"/>
          <w:szCs w:val="24"/>
        </w:rPr>
        <w:t>8）信用证明：（无不良记录视为有效证明材料） ①进入“信用中国http://www.creditchina.gov.cn/”将“失信被执行人、企业经营异常名录、税收违法黑名单；②进入“中国政府采购网http://www.ccgp.gov.cn/”将“政府采购严重违法失信行为”，共4项截图分别打印并加盖公章</w:t>
      </w:r>
      <w:r>
        <w:rPr>
          <w:rFonts w:hint="eastAsia" w:cs="宋体"/>
          <w:iCs/>
          <w:kern w:val="0"/>
          <w:sz w:val="24"/>
          <w:szCs w:val="24"/>
          <w:lang w:eastAsia="zh-CN"/>
        </w:rPr>
        <w:t>；</w:t>
      </w:r>
    </w:p>
    <w:p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793"/>
      <w:bookmarkStart w:id="18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3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12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16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12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22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35393625"/>
      <w:bookmarkStart w:id="20" w:name="_Toc28359007"/>
      <w:bookmarkStart w:id="21" w:name="_Toc28359084"/>
      <w:bookmarkStart w:id="22" w:name="_Toc3539379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</w:t>
      </w:r>
      <w:r>
        <w:rPr>
          <w:rFonts w:hint="eastAsia" w:cs="宋体"/>
          <w:kern w:val="0"/>
          <w:sz w:val="24"/>
          <w:szCs w:val="21"/>
          <w:lang w:val="en-US" w:eastAsia="zh-CN"/>
        </w:rPr>
        <w:t>综合评分法</w:t>
      </w:r>
      <w:r>
        <w:rPr>
          <w:rFonts w:hint="eastAsia" w:cs="宋体"/>
          <w:kern w:val="0"/>
          <w:sz w:val="24"/>
          <w:szCs w:val="21"/>
        </w:rPr>
        <w:t>。</w:t>
      </w:r>
    </w:p>
    <w:p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4、对小型和微型企业（监狱企业）产品、残疾人福利性单位的价格给予6%的扣除，用扣除后的价格参与评审。必须按规定提交证明材料，原件现场核查，否则不予扣除。</w:t>
      </w:r>
    </w:p>
    <w:p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>
      <w:pPr>
        <w:widowControl/>
        <w:spacing w:line="276" w:lineRule="auto"/>
        <w:rPr>
          <w:rFonts w:hint="eastAsia" w:cs="宋体"/>
          <w:kern w:val="0"/>
          <w:sz w:val="24"/>
        </w:rPr>
      </w:pPr>
    </w:p>
    <w:p>
      <w:pPr>
        <w:widowControl/>
        <w:spacing w:line="276" w:lineRule="auto"/>
        <w:jc w:val="right"/>
        <w:rPr>
          <w:rFonts w:hint="eastAsia" w:eastAsia="宋体" w:cs="宋体"/>
          <w:kern w:val="0"/>
          <w:sz w:val="24"/>
          <w:lang w:eastAsia="zh-CN"/>
        </w:rPr>
      </w:pPr>
      <w:r>
        <w:rPr>
          <w:rFonts w:hint="eastAsia" w:cs="宋体"/>
          <w:kern w:val="0"/>
          <w:sz w:val="24"/>
        </w:rPr>
        <w:t>公告发布人：</w:t>
      </w:r>
      <w:r>
        <w:rPr>
          <w:rFonts w:hint="eastAsia" w:cs="宋体"/>
          <w:kern w:val="0"/>
          <w:sz w:val="24"/>
          <w:lang w:eastAsia="zh-CN"/>
        </w:rPr>
        <w:t>江西智杰工程管理有限公司</w:t>
      </w:r>
    </w:p>
    <w:bookmarkEnd w:id="1"/>
    <w:p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23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16</w:t>
      </w:r>
      <w:r>
        <w:rPr>
          <w:rFonts w:hint="eastAsia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07146E30"/>
    <w:rsid w:val="05DB24C2"/>
    <w:rsid w:val="07146E30"/>
    <w:rsid w:val="09326132"/>
    <w:rsid w:val="0F4B48EC"/>
    <w:rsid w:val="14877313"/>
    <w:rsid w:val="1B3947FE"/>
    <w:rsid w:val="332C70AB"/>
    <w:rsid w:val="448F2DF0"/>
    <w:rsid w:val="5F7C01CA"/>
    <w:rsid w:val="6D0846DD"/>
    <w:rsid w:val="75652655"/>
    <w:rsid w:val="7A7E03EF"/>
    <w:rsid w:val="7B022DCE"/>
    <w:rsid w:val="7B76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1289</Words>
  <Characters>1430</Characters>
  <Lines>0</Lines>
  <Paragraphs>0</Paragraphs>
  <TotalTime>0</TotalTime>
  <ScaleCrop>false</ScaleCrop>
  <LinksUpToDate>false</LinksUpToDate>
  <CharactersWithSpaces>1483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Sugar</cp:lastModifiedBy>
  <cp:lastPrinted>2024-07-15T07:58:00Z</cp:lastPrinted>
  <dcterms:modified xsi:type="dcterms:W3CDTF">2024-07-16T09:00:11Z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91171523E2B84CF4A163A9D703D4517F_11</vt:lpwstr>
  </property>
</Properties>
</file>